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1B4F" w14:textId="77777777" w:rsidR="00F127A1" w:rsidRPr="000F3775" w:rsidRDefault="00F127A1" w:rsidP="00496E7D">
      <w:pPr>
        <w:spacing w:after="0" w:line="240" w:lineRule="auto"/>
        <w:jc w:val="right"/>
        <w:rPr>
          <w:rFonts w:ascii="Times New Roman" w:hAnsi="Times New Roman"/>
          <w:color w:val="0000FF"/>
          <w:sz w:val="24"/>
          <w:szCs w:val="24"/>
        </w:rPr>
      </w:pPr>
      <w:r w:rsidRPr="000F3775">
        <w:rPr>
          <w:rFonts w:ascii="Times New Roman" w:hAnsi="Times New Roman"/>
          <w:color w:val="0000FF"/>
          <w:sz w:val="24"/>
          <w:szCs w:val="24"/>
        </w:rPr>
        <w:t>Для размещения на сайте учреждения</w:t>
      </w:r>
    </w:p>
    <w:p w14:paraId="1D2A7AE5" w14:textId="77777777" w:rsidR="00F127A1" w:rsidRPr="000F3775" w:rsidRDefault="00F127A1" w:rsidP="00496E7D">
      <w:pPr>
        <w:pStyle w:val="a4"/>
        <w:spacing w:before="0" w:beforeAutospacing="0" w:after="0" w:afterAutospacing="0"/>
        <w:ind w:firstLine="567"/>
        <w:jc w:val="both"/>
      </w:pPr>
    </w:p>
    <w:p w14:paraId="01B96AD4" w14:textId="77777777" w:rsidR="00F127A1" w:rsidRPr="000F3775" w:rsidRDefault="00F127A1" w:rsidP="00496E7D">
      <w:pPr>
        <w:pStyle w:val="a4"/>
        <w:spacing w:before="0" w:beforeAutospacing="0" w:after="0" w:afterAutospacing="0"/>
        <w:ind w:firstLine="567"/>
        <w:jc w:val="center"/>
        <w:rPr>
          <w:b/>
        </w:rPr>
      </w:pPr>
      <w:r w:rsidRPr="000F3775">
        <w:rPr>
          <w:b/>
        </w:rPr>
        <w:t>Основные положения</w:t>
      </w:r>
    </w:p>
    <w:p w14:paraId="4143ED01" w14:textId="77777777" w:rsidR="00F127A1" w:rsidRPr="000F3775" w:rsidRDefault="00F127A1" w:rsidP="00496E7D">
      <w:pPr>
        <w:pStyle w:val="a4"/>
        <w:spacing w:before="0" w:beforeAutospacing="0" w:after="0" w:afterAutospacing="0"/>
        <w:ind w:firstLine="567"/>
        <w:jc w:val="center"/>
        <w:rPr>
          <w:b/>
        </w:rPr>
      </w:pPr>
      <w:r w:rsidRPr="000F3775">
        <w:rPr>
          <w:b/>
        </w:rPr>
        <w:t xml:space="preserve">учетной политики МАУ «ЛДС им.С.Капустина» </w:t>
      </w:r>
      <w:r w:rsidRPr="000F3775">
        <w:rPr>
          <w:b/>
          <w:color w:val="0000FF"/>
        </w:rPr>
        <w:t>(выдержки)</w:t>
      </w:r>
    </w:p>
    <w:p w14:paraId="28D5983E" w14:textId="77777777" w:rsidR="000F3775" w:rsidRPr="000F3775" w:rsidRDefault="000F3775" w:rsidP="000F3775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</w:rPr>
      </w:pPr>
      <w:r w:rsidRPr="000F3775">
        <w:rPr>
          <w:color w:val="0F1115"/>
        </w:rPr>
        <w:t>В соответствии с пунктом 9 Федерального стандарта бухгалтерского учета для организаций государственного сектора «Учетная политика, оценочные значения и ошибки», утвержденного приказом Министерства финансов Российской Федерации от 30.12.2017 № 274н, на официальном сайте учреждения размещается информация об учетной политике.</w:t>
      </w:r>
    </w:p>
    <w:p w14:paraId="253E4656" w14:textId="77777777" w:rsidR="000F3775" w:rsidRPr="000F3775" w:rsidRDefault="000F3775" w:rsidP="000F3775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</w:rPr>
      </w:pPr>
      <w:r w:rsidRPr="000F3775">
        <w:rPr>
          <w:color w:val="0F1115"/>
        </w:rPr>
        <w:t>Учетная политика для целей бухгалтерского учета утверждена Приказом директора МАУ «Ледовый дворец спорта имени Сергея Капустина» от 29.12.2018г. № 39 (в редакции от 26.12.2025) «Об утверждении новой редакции учетной политики для целей бухгалтерского учета».</w:t>
      </w:r>
    </w:p>
    <w:p w14:paraId="611D137A" w14:textId="77777777" w:rsidR="000F3775" w:rsidRPr="000F3775" w:rsidRDefault="000F3775" w:rsidP="000F3775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</w:rPr>
      </w:pPr>
      <w:r w:rsidRPr="000F3775">
        <w:rPr>
          <w:color w:val="0F1115"/>
        </w:rPr>
        <w:t>Учетная политика разработана в соответствии с требованиями законодательства Российской Федерации, федеральных стандартов бухгалтерского учета для организаций государственного сектора, в том числе:</w:t>
      </w:r>
    </w:p>
    <w:p w14:paraId="33811F0A" w14:textId="77777777" w:rsidR="000F3775" w:rsidRPr="000F3775" w:rsidRDefault="000F3775" w:rsidP="000F3775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Бюджетного кодекса РФ;</w:t>
      </w:r>
    </w:p>
    <w:p w14:paraId="7B9095CD" w14:textId="77777777" w:rsidR="000F3775" w:rsidRPr="000F3775" w:rsidRDefault="000F3775" w:rsidP="000F3775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Федерального закона от 06.12.2011 № 402-ФЗ «О бухгалтерском учете»;</w:t>
      </w:r>
    </w:p>
    <w:p w14:paraId="74CFCB23" w14:textId="77777777" w:rsidR="000F3775" w:rsidRPr="000F3775" w:rsidRDefault="000F3775" w:rsidP="000F3775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Федерального закона от 03.11.2006 № 174-ФЗ «Об автономных учреждениях»;</w:t>
      </w:r>
    </w:p>
    <w:p w14:paraId="62B0ECAF" w14:textId="77777777" w:rsidR="000F3775" w:rsidRPr="000F3775" w:rsidRDefault="000F3775" w:rsidP="000F3775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Федеральных стандартов бухгалтерского учета (СГС): «Концептуальные основы», «Основные средства», «Аренда», «Обесценение активов», «Доходы», «Учетная политика, оценочные значения и ошибки», «Представление отчетности» и других;</w:t>
      </w:r>
    </w:p>
    <w:p w14:paraId="3874CFDD" w14:textId="77777777" w:rsidR="000F3775" w:rsidRPr="000F3775" w:rsidRDefault="000F3775" w:rsidP="000F3775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Приказов Минфина России № 52н, № 61н (формы первичных документов);</w:t>
      </w:r>
    </w:p>
    <w:p w14:paraId="74572667" w14:textId="77777777" w:rsidR="000F3775" w:rsidRPr="000F3775" w:rsidRDefault="000F3775" w:rsidP="000F3775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СГС «Единый план счетов бухгалтерского учета государственных финансов» (Приказ Минфина от 30.08.2024 № 121н);</w:t>
      </w:r>
    </w:p>
    <w:p w14:paraId="4E692472" w14:textId="77777777" w:rsidR="000F3775" w:rsidRPr="000F3775" w:rsidRDefault="000F3775" w:rsidP="000F3775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СГС «План счетов бухгалтерского учета бюджетных и автономных учреждений» (Приказ Минфина от 20.09.2024 № 133н).</w:t>
      </w:r>
    </w:p>
    <w:p w14:paraId="32A7F9F7" w14:textId="77777777" w:rsidR="000F3775" w:rsidRPr="000F3775" w:rsidRDefault="000F3775" w:rsidP="000F3775">
      <w:pPr>
        <w:spacing w:before="480" w:after="480"/>
        <w:rPr>
          <w:rFonts w:ascii="Times New Roman" w:hAnsi="Times New Roman"/>
        </w:rPr>
      </w:pPr>
      <w:r w:rsidRPr="000F3775">
        <w:rPr>
          <w:rFonts w:ascii="Times New Roman" w:hAnsi="Times New Roman"/>
        </w:rPr>
        <w:pict w14:anchorId="6EA437A9">
          <v:rect id="_x0000_i1025" style="width:0;height:.75pt" o:hralign="center" o:hrstd="t" o:hr="t" fillcolor="#a0a0a0" stroked="f"/>
        </w:pict>
      </w:r>
    </w:p>
    <w:p w14:paraId="712D3652" w14:textId="77777777" w:rsidR="000F3775" w:rsidRPr="000F3775" w:rsidRDefault="000F3775" w:rsidP="000F3775">
      <w:pPr>
        <w:pStyle w:val="3"/>
        <w:shd w:val="clear" w:color="auto" w:fill="FFFFFF"/>
        <w:spacing w:before="480" w:after="240" w:line="450" w:lineRule="atLeast"/>
        <w:rPr>
          <w:color w:val="0F1115"/>
          <w:sz w:val="30"/>
          <w:szCs w:val="30"/>
        </w:rPr>
      </w:pPr>
      <w:r w:rsidRPr="000F3775">
        <w:rPr>
          <w:rStyle w:val="aa"/>
          <w:b w:val="0"/>
          <w:bCs/>
          <w:color w:val="0F1115"/>
          <w:sz w:val="30"/>
          <w:szCs w:val="30"/>
        </w:rPr>
        <w:t>1. Общие положения</w:t>
      </w:r>
    </w:p>
    <w:p w14:paraId="6E89CD77" w14:textId="77777777" w:rsidR="000F3775" w:rsidRPr="000F3775" w:rsidRDefault="000F3775" w:rsidP="000F377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F3775">
        <w:rPr>
          <w:rStyle w:val="aa"/>
          <w:color w:val="0F1115"/>
        </w:rPr>
        <w:t>1.1. Ответственность руководителя и главного бухгалтера</w:t>
      </w:r>
    </w:p>
    <w:p w14:paraId="379C3ACD" w14:textId="77777777" w:rsidR="000F3775" w:rsidRPr="000F3775" w:rsidRDefault="000F3775" w:rsidP="000F3775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Ответственность за организацию бухгалтерского учета несет руководитель учреждения.</w:t>
      </w:r>
    </w:p>
    <w:p w14:paraId="7F88ABF3" w14:textId="77777777" w:rsidR="000F3775" w:rsidRPr="000F3775" w:rsidRDefault="000F3775" w:rsidP="000F3775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Ведение бухгалтерского учета возложено на главного бухгалтера, который подчиняется непосредственно руководителю и отвечает за формирование учетной политики, ведение учета и представление отчетности.</w:t>
      </w:r>
    </w:p>
    <w:p w14:paraId="3939958B" w14:textId="77777777" w:rsidR="000F3775" w:rsidRPr="000F3775" w:rsidRDefault="000F3775" w:rsidP="000F377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F3775">
        <w:rPr>
          <w:rStyle w:val="aa"/>
          <w:color w:val="0F1115"/>
        </w:rPr>
        <w:t>1.2. Форма ведения учета</w:t>
      </w:r>
    </w:p>
    <w:p w14:paraId="712AD088" w14:textId="77777777" w:rsidR="000F3775" w:rsidRPr="000F3775" w:rsidRDefault="000F3775" w:rsidP="000F3775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Учет ведется автоматизированным способом с применением программных продуктов «1С: Бухгалтерия государственного учреждения» и «1С: Зарплата и кадры государственного учреждения».</w:t>
      </w:r>
    </w:p>
    <w:p w14:paraId="128EE5D9" w14:textId="77777777" w:rsidR="000F3775" w:rsidRPr="000F3775" w:rsidRDefault="000F3775" w:rsidP="000F377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F3775">
        <w:rPr>
          <w:rStyle w:val="aa"/>
          <w:color w:val="0F1115"/>
        </w:rPr>
        <w:t>1.3. Первичные учетные документы</w:t>
      </w:r>
    </w:p>
    <w:p w14:paraId="0F1473CD" w14:textId="77777777" w:rsidR="000F3775" w:rsidRPr="000F3775" w:rsidRDefault="000F3775" w:rsidP="000F3775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jc w:val="both"/>
        <w:rPr>
          <w:color w:val="0F1115"/>
        </w:rPr>
      </w:pPr>
      <w:r w:rsidRPr="000F3775">
        <w:rPr>
          <w:color w:val="0F1115"/>
        </w:rPr>
        <w:t>Применяются унифицированные формы документов, утвержденные Минфином России (Приказы № 52н, № 61н), а также самостоятельно разработанные формы.</w:t>
      </w:r>
    </w:p>
    <w:p w14:paraId="1EAB3B45" w14:textId="77777777" w:rsidR="000F3775" w:rsidRPr="000F3775" w:rsidRDefault="000F3775" w:rsidP="000F3775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jc w:val="both"/>
        <w:rPr>
          <w:color w:val="0F1115"/>
        </w:rPr>
      </w:pPr>
      <w:r w:rsidRPr="000F3775">
        <w:rPr>
          <w:color w:val="0F1115"/>
        </w:rPr>
        <w:lastRenderedPageBreak/>
        <w:t>Документы могут составляться на бумажном носителе или в виде электронного документа, подписанного квалифицированной электронной подписью.</w:t>
      </w:r>
    </w:p>
    <w:p w14:paraId="2A0D7798" w14:textId="77777777" w:rsidR="000F3775" w:rsidRPr="000F3775" w:rsidRDefault="000F3775" w:rsidP="000F3775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0F3775">
        <w:rPr>
          <w:rStyle w:val="aa"/>
          <w:color w:val="0F1115"/>
        </w:rPr>
        <w:t>1.4. Организация контроля и комиссии</w:t>
      </w:r>
    </w:p>
    <w:p w14:paraId="61B1DE87" w14:textId="77777777" w:rsidR="000F3775" w:rsidRPr="000F3775" w:rsidRDefault="000F3775" w:rsidP="000F3775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jc w:val="both"/>
        <w:rPr>
          <w:color w:val="0F1115"/>
        </w:rPr>
      </w:pPr>
      <w:r w:rsidRPr="000F3775">
        <w:rPr>
          <w:color w:val="0F1115"/>
        </w:rPr>
        <w:t>Для принятия к учету и выбытия активов действует постоянно действующая комиссия по поступлению и выбытию активов.</w:t>
      </w:r>
    </w:p>
    <w:p w14:paraId="7FB2D8DA" w14:textId="77777777" w:rsidR="000F3775" w:rsidRPr="000F3775" w:rsidRDefault="000F3775" w:rsidP="000F3775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jc w:val="both"/>
        <w:rPr>
          <w:color w:val="0F1115"/>
        </w:rPr>
      </w:pPr>
      <w:r w:rsidRPr="000F3775">
        <w:rPr>
          <w:color w:val="0F1115"/>
        </w:rPr>
        <w:t>Внутренний контроль совершаемых фактов хозяйственной жизни осуществляется в соответствии с утвержденным Положением.</w:t>
      </w:r>
    </w:p>
    <w:p w14:paraId="0B360E0C" w14:textId="77777777" w:rsidR="000F3775" w:rsidRPr="000F3775" w:rsidRDefault="000F3775" w:rsidP="000F3775">
      <w:pPr>
        <w:spacing w:before="480" w:after="480"/>
        <w:rPr>
          <w:rFonts w:ascii="Times New Roman" w:hAnsi="Times New Roman"/>
        </w:rPr>
      </w:pPr>
      <w:r w:rsidRPr="000F3775">
        <w:rPr>
          <w:rFonts w:ascii="Times New Roman" w:hAnsi="Times New Roman"/>
        </w:rPr>
        <w:pict w14:anchorId="2CF838CB">
          <v:rect id="_x0000_i1026" style="width:0;height:.75pt" o:hralign="center" o:hrstd="t" o:hr="t" fillcolor="#a0a0a0" stroked="f"/>
        </w:pict>
      </w:r>
    </w:p>
    <w:p w14:paraId="33C596BC" w14:textId="77777777" w:rsidR="000F3775" w:rsidRPr="000F3775" w:rsidRDefault="000F3775" w:rsidP="000F3775">
      <w:pPr>
        <w:pStyle w:val="3"/>
        <w:shd w:val="clear" w:color="auto" w:fill="FFFFFF"/>
        <w:spacing w:before="480" w:after="240" w:line="450" w:lineRule="atLeast"/>
        <w:rPr>
          <w:color w:val="0F1115"/>
          <w:sz w:val="30"/>
          <w:szCs w:val="30"/>
        </w:rPr>
      </w:pPr>
      <w:r w:rsidRPr="000F3775">
        <w:rPr>
          <w:rStyle w:val="aa"/>
          <w:b w:val="0"/>
          <w:bCs/>
          <w:color w:val="0F1115"/>
          <w:sz w:val="30"/>
          <w:szCs w:val="30"/>
        </w:rPr>
        <w:t>2. Методы оценки активов и обязательств</w:t>
      </w:r>
    </w:p>
    <w:p w14:paraId="3E3482DD" w14:textId="77777777" w:rsidR="000F3775" w:rsidRPr="000F3775" w:rsidRDefault="000F3775" w:rsidP="000F377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F3775">
        <w:rPr>
          <w:rStyle w:val="aa"/>
          <w:color w:val="0F1115"/>
        </w:rPr>
        <w:t>2.1. Основные средства</w:t>
      </w:r>
    </w:p>
    <w:p w14:paraId="7F8D2695" w14:textId="77777777" w:rsidR="000F3775" w:rsidRPr="000F3775" w:rsidRDefault="000F3775" w:rsidP="000F3775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Признаются объекты со сроком полезного использования более 12 месяцев.</w:t>
      </w:r>
    </w:p>
    <w:p w14:paraId="650E1B36" w14:textId="77777777" w:rsidR="000F3775" w:rsidRPr="000F3775" w:rsidRDefault="000F3775" w:rsidP="000F3775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Амортизация начисляется линейным методом.</w:t>
      </w:r>
    </w:p>
    <w:p w14:paraId="6936D4D6" w14:textId="77777777" w:rsidR="000F3775" w:rsidRPr="000F3775" w:rsidRDefault="000F3775" w:rsidP="000F3775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Объекты стоимостью до 10 000 руб. учитываются на забалансовом счете.</w:t>
      </w:r>
    </w:p>
    <w:p w14:paraId="778FF6FF" w14:textId="77777777" w:rsidR="000F3775" w:rsidRPr="000F3775" w:rsidRDefault="000F3775" w:rsidP="000F377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F3775">
        <w:rPr>
          <w:rStyle w:val="aa"/>
          <w:color w:val="0F1115"/>
        </w:rPr>
        <w:t>2.2. Нематериальные активы</w:t>
      </w:r>
    </w:p>
    <w:p w14:paraId="69038BFF" w14:textId="77777777" w:rsidR="000F3775" w:rsidRPr="000F3775" w:rsidRDefault="000F3775" w:rsidP="000F3775">
      <w:pPr>
        <w:pStyle w:val="ds-markdown-paragraph"/>
        <w:numPr>
          <w:ilvl w:val="0"/>
          <w:numId w:val="21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Признаются при выполнении установленных критериев (отсутствие материальной формы, возможность идентификации, способность приносить экономические выгоды и др.).</w:t>
      </w:r>
    </w:p>
    <w:p w14:paraId="481E9D1D" w14:textId="77777777" w:rsidR="000F3775" w:rsidRPr="000F3775" w:rsidRDefault="000F3775" w:rsidP="000F3775">
      <w:pPr>
        <w:pStyle w:val="ds-markdown-paragraph"/>
        <w:numPr>
          <w:ilvl w:val="0"/>
          <w:numId w:val="21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Амортизация начисляется линейным методом по объектам с определенным сроком полезного использования.</w:t>
      </w:r>
    </w:p>
    <w:p w14:paraId="597E3574" w14:textId="77777777" w:rsidR="000F3775" w:rsidRPr="000F3775" w:rsidRDefault="000F3775" w:rsidP="000F377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F3775">
        <w:rPr>
          <w:rStyle w:val="aa"/>
          <w:color w:val="0F1115"/>
        </w:rPr>
        <w:t>2.3. Непроизведенные активы</w:t>
      </w:r>
    </w:p>
    <w:p w14:paraId="59D58DC3" w14:textId="77777777" w:rsidR="000F3775" w:rsidRPr="000F3775" w:rsidRDefault="000F3775" w:rsidP="000F3775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Объекты, не являющиеся продуктами производства (земля, недра), принимаются к учету в соответствии с законодательством.</w:t>
      </w:r>
    </w:p>
    <w:p w14:paraId="70AC5DE2" w14:textId="77777777" w:rsidR="000F3775" w:rsidRPr="000F3775" w:rsidRDefault="000F3775" w:rsidP="000F3775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Земельные участки учитываются по кадастровой стоимости. Проверка актуальности стоимости проводится ежегодно.</w:t>
      </w:r>
    </w:p>
    <w:p w14:paraId="1F9AA475" w14:textId="77777777" w:rsidR="000F3775" w:rsidRPr="000F3775" w:rsidRDefault="000F3775" w:rsidP="000F377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F3775">
        <w:rPr>
          <w:rStyle w:val="aa"/>
          <w:color w:val="0F1115"/>
        </w:rPr>
        <w:t>2.4. Материальные запасы</w:t>
      </w:r>
    </w:p>
    <w:p w14:paraId="0AA3F200" w14:textId="77777777" w:rsidR="000F3775" w:rsidRPr="000F3775" w:rsidRDefault="000F3775" w:rsidP="000F3775">
      <w:pPr>
        <w:pStyle w:val="ds-markdown-paragraph"/>
        <w:numPr>
          <w:ilvl w:val="0"/>
          <w:numId w:val="23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Приобретенные за плату оцениваются по фактической стоимости.</w:t>
      </w:r>
    </w:p>
    <w:p w14:paraId="4E87A724" w14:textId="77777777" w:rsidR="000F3775" w:rsidRPr="000F3775" w:rsidRDefault="000F3775" w:rsidP="000F3775">
      <w:pPr>
        <w:pStyle w:val="ds-markdown-paragraph"/>
        <w:numPr>
          <w:ilvl w:val="0"/>
          <w:numId w:val="23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Выбытие (списание) оценивается по средней фактической стоимости.</w:t>
      </w:r>
    </w:p>
    <w:p w14:paraId="4523F24F" w14:textId="77777777" w:rsidR="000F3775" w:rsidRPr="000F3775" w:rsidRDefault="000F3775" w:rsidP="000F3775">
      <w:pPr>
        <w:pStyle w:val="ds-markdown-paragraph"/>
        <w:numPr>
          <w:ilvl w:val="0"/>
          <w:numId w:val="23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Установлены особенности учета и списания отдельных групп запасов: ГСМ, спецодежды, канцелярских принадлежностей.</w:t>
      </w:r>
    </w:p>
    <w:p w14:paraId="0F139F90" w14:textId="77777777" w:rsidR="000F3775" w:rsidRPr="000F3775" w:rsidRDefault="000F3775" w:rsidP="000F377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F3775">
        <w:rPr>
          <w:rStyle w:val="aa"/>
          <w:color w:val="0F1115"/>
        </w:rPr>
        <w:t>2.5. Создание резервов</w:t>
      </w:r>
    </w:p>
    <w:p w14:paraId="7EDD0923" w14:textId="77777777" w:rsidR="000F3775" w:rsidRPr="000F3775" w:rsidRDefault="000F3775" w:rsidP="000F3775">
      <w:pPr>
        <w:pStyle w:val="ds-markdown-paragraph"/>
        <w:numPr>
          <w:ilvl w:val="0"/>
          <w:numId w:val="24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Формируются резервы: на оплату отпусков, по сомнительной дебиторской задолженности, предстоящих расходов и др.</w:t>
      </w:r>
    </w:p>
    <w:p w14:paraId="00B47BE7" w14:textId="77777777" w:rsidR="000F3775" w:rsidRPr="000F3775" w:rsidRDefault="000F3775" w:rsidP="000F3775">
      <w:pPr>
        <w:spacing w:before="480" w:after="480"/>
        <w:rPr>
          <w:rFonts w:ascii="Times New Roman" w:hAnsi="Times New Roman"/>
        </w:rPr>
      </w:pPr>
      <w:r w:rsidRPr="000F3775">
        <w:rPr>
          <w:rFonts w:ascii="Times New Roman" w:hAnsi="Times New Roman"/>
        </w:rPr>
        <w:pict w14:anchorId="49A79AE3">
          <v:rect id="_x0000_i1027" style="width:0;height:.75pt" o:hralign="center" o:hrstd="t" o:hr="t" fillcolor="#a0a0a0" stroked="f"/>
        </w:pict>
      </w:r>
    </w:p>
    <w:p w14:paraId="27020DE2" w14:textId="77777777" w:rsidR="000F3775" w:rsidRPr="000F3775" w:rsidRDefault="000F3775" w:rsidP="000F3775">
      <w:pPr>
        <w:pStyle w:val="3"/>
        <w:shd w:val="clear" w:color="auto" w:fill="FFFFFF"/>
        <w:spacing w:before="480" w:after="240" w:line="450" w:lineRule="atLeast"/>
        <w:rPr>
          <w:color w:val="0F1115"/>
          <w:sz w:val="30"/>
          <w:szCs w:val="30"/>
        </w:rPr>
      </w:pPr>
      <w:r w:rsidRPr="000F3775">
        <w:rPr>
          <w:rStyle w:val="aa"/>
          <w:b w:val="0"/>
          <w:bCs/>
          <w:color w:val="0F1115"/>
          <w:sz w:val="30"/>
          <w:szCs w:val="30"/>
        </w:rPr>
        <w:t>3. Порядок проведения инвентаризации</w:t>
      </w:r>
    </w:p>
    <w:p w14:paraId="14DB5D17" w14:textId="77777777" w:rsidR="000F3775" w:rsidRPr="000F3775" w:rsidRDefault="000F3775" w:rsidP="000F3775">
      <w:pPr>
        <w:pStyle w:val="ds-markdown-paragraph"/>
        <w:numPr>
          <w:ilvl w:val="0"/>
          <w:numId w:val="25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lastRenderedPageBreak/>
        <w:t>Инвентаризация активов и обязательств проводится для подтверждения достоверности данных учета и отчетности в порядке, установленном соответствующим приложением к Учетной политике.</w:t>
      </w:r>
    </w:p>
    <w:p w14:paraId="3E8EECFF" w14:textId="77777777" w:rsidR="000F3775" w:rsidRPr="000F3775" w:rsidRDefault="000F3775" w:rsidP="000F3775">
      <w:pPr>
        <w:spacing w:before="480" w:after="480"/>
        <w:rPr>
          <w:rFonts w:ascii="Times New Roman" w:hAnsi="Times New Roman"/>
        </w:rPr>
      </w:pPr>
      <w:r w:rsidRPr="000F3775">
        <w:rPr>
          <w:rFonts w:ascii="Times New Roman" w:hAnsi="Times New Roman"/>
        </w:rPr>
        <w:pict w14:anchorId="3DEDD9D2">
          <v:rect id="_x0000_i1028" style="width:0;height:.75pt" o:hralign="center" o:hrstd="t" o:hr="t" fillcolor="#a0a0a0" stroked="f"/>
        </w:pict>
      </w:r>
    </w:p>
    <w:p w14:paraId="0C26C639" w14:textId="77777777" w:rsidR="000F3775" w:rsidRPr="000F3775" w:rsidRDefault="000F3775" w:rsidP="000F3775">
      <w:pPr>
        <w:pStyle w:val="3"/>
        <w:shd w:val="clear" w:color="auto" w:fill="FFFFFF"/>
        <w:spacing w:before="480" w:after="240" w:line="450" w:lineRule="atLeast"/>
        <w:rPr>
          <w:color w:val="0F1115"/>
          <w:sz w:val="30"/>
          <w:szCs w:val="30"/>
        </w:rPr>
      </w:pPr>
      <w:r w:rsidRPr="000F3775">
        <w:rPr>
          <w:rStyle w:val="aa"/>
          <w:b w:val="0"/>
          <w:bCs/>
          <w:color w:val="0F1115"/>
          <w:sz w:val="30"/>
          <w:szCs w:val="30"/>
        </w:rPr>
        <w:t>4. Порядок признания доходов и расходов</w:t>
      </w:r>
    </w:p>
    <w:p w14:paraId="468F30C1" w14:textId="77777777" w:rsidR="000F3775" w:rsidRPr="000F3775" w:rsidRDefault="000F3775" w:rsidP="000F377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F3775">
        <w:rPr>
          <w:rStyle w:val="aa"/>
          <w:color w:val="0F1115"/>
        </w:rPr>
        <w:t>4.1. Признание доходов</w:t>
      </w:r>
    </w:p>
    <w:p w14:paraId="7E4E30DB" w14:textId="77777777" w:rsidR="000F3775" w:rsidRPr="000F3775" w:rsidRDefault="000F3775" w:rsidP="000F3775">
      <w:pPr>
        <w:pStyle w:val="ds-markdown-paragraph"/>
        <w:numPr>
          <w:ilvl w:val="0"/>
          <w:numId w:val="26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Доходы от аренды, оказания платных услуг, компенсации затрат признаются в соответствии с условиями договоров.</w:t>
      </w:r>
    </w:p>
    <w:p w14:paraId="18B52C1C" w14:textId="77777777" w:rsidR="000F3775" w:rsidRPr="000F3775" w:rsidRDefault="000F3775" w:rsidP="000F3775">
      <w:pPr>
        <w:pStyle w:val="ds-markdown-paragraph"/>
        <w:numPr>
          <w:ilvl w:val="0"/>
          <w:numId w:val="26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Установлен особый порядок учета доходов от реализации абонементов (учет в составе доходов будущих периодов и их равномерное признание).</w:t>
      </w:r>
    </w:p>
    <w:p w14:paraId="7969ED09" w14:textId="77777777" w:rsidR="000F3775" w:rsidRPr="000F3775" w:rsidRDefault="000F3775" w:rsidP="000F377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F3775">
        <w:rPr>
          <w:rStyle w:val="aa"/>
          <w:color w:val="0F1115"/>
        </w:rPr>
        <w:t>4.2. Признание расходов</w:t>
      </w:r>
    </w:p>
    <w:p w14:paraId="6FB75B51" w14:textId="77777777" w:rsidR="000F3775" w:rsidRPr="000F3775" w:rsidRDefault="000F3775" w:rsidP="000F3775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Расходы будущих периодов (страхование, отпускные и др.) признаются в периоде, к которому они относятся.</w:t>
      </w:r>
    </w:p>
    <w:p w14:paraId="683725BD" w14:textId="77777777" w:rsidR="000F3775" w:rsidRPr="000F3775" w:rsidRDefault="000F3775" w:rsidP="000F3775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Затраты на оказание услуг формируются на счете 109.60.</w:t>
      </w:r>
    </w:p>
    <w:p w14:paraId="26AFB27B" w14:textId="77777777" w:rsidR="000F3775" w:rsidRPr="000F3775" w:rsidRDefault="000F3775" w:rsidP="000F3775">
      <w:pPr>
        <w:spacing w:before="480" w:after="480"/>
        <w:rPr>
          <w:rFonts w:ascii="Times New Roman" w:hAnsi="Times New Roman"/>
        </w:rPr>
      </w:pPr>
      <w:r w:rsidRPr="000F3775">
        <w:rPr>
          <w:rFonts w:ascii="Times New Roman" w:hAnsi="Times New Roman"/>
        </w:rPr>
        <w:pict w14:anchorId="68CA2195">
          <v:rect id="_x0000_i1029" style="width:0;height:.75pt" o:hralign="center" o:hrstd="t" o:hr="t" fillcolor="#a0a0a0" stroked="f"/>
        </w:pict>
      </w:r>
    </w:p>
    <w:p w14:paraId="3D5EE4F6" w14:textId="77777777" w:rsidR="000F3775" w:rsidRPr="000F3775" w:rsidRDefault="000F3775" w:rsidP="000F3775">
      <w:pPr>
        <w:pStyle w:val="3"/>
        <w:shd w:val="clear" w:color="auto" w:fill="FFFFFF"/>
        <w:spacing w:before="480" w:after="240" w:line="450" w:lineRule="atLeast"/>
        <w:rPr>
          <w:color w:val="0F1115"/>
          <w:sz w:val="30"/>
          <w:szCs w:val="30"/>
        </w:rPr>
      </w:pPr>
      <w:r w:rsidRPr="000F3775">
        <w:rPr>
          <w:rStyle w:val="aa"/>
          <w:b w:val="0"/>
          <w:bCs/>
          <w:color w:val="0F1115"/>
          <w:sz w:val="30"/>
          <w:szCs w:val="30"/>
        </w:rPr>
        <w:t>5. Забалансовый учет</w:t>
      </w:r>
    </w:p>
    <w:p w14:paraId="7C8287C2" w14:textId="77777777" w:rsidR="000F3775" w:rsidRPr="000F3775" w:rsidRDefault="000F3775" w:rsidP="000F3775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/>
        <w:jc w:val="both"/>
        <w:rPr>
          <w:color w:val="0F1115"/>
        </w:rPr>
      </w:pPr>
      <w:r w:rsidRPr="000F3775">
        <w:rPr>
          <w:color w:val="0F1115"/>
        </w:rPr>
        <w:t>На забалансовых счетах учитываются: арендованное имущество, бланки строгой отчетности, задолженность неплатежеспособных дебиторов, основные средства стоимостью до 10 000 руб., материальные ценности в личном пользовании работников и др.</w:t>
      </w:r>
    </w:p>
    <w:p w14:paraId="369F07E0" w14:textId="77777777" w:rsidR="000F3775" w:rsidRPr="000F3775" w:rsidRDefault="000F3775" w:rsidP="000F3775">
      <w:pPr>
        <w:spacing w:before="480" w:after="480"/>
        <w:rPr>
          <w:rFonts w:ascii="Times New Roman" w:hAnsi="Times New Roman"/>
        </w:rPr>
      </w:pPr>
      <w:r w:rsidRPr="000F3775">
        <w:rPr>
          <w:rFonts w:ascii="Times New Roman" w:hAnsi="Times New Roman"/>
        </w:rPr>
        <w:pict w14:anchorId="2D77383B">
          <v:rect id="_x0000_i1030" style="width:0;height:.75pt" o:hralign="center" o:hrstd="t" o:hr="t" fillcolor="#a0a0a0" stroked="f"/>
        </w:pict>
      </w:r>
    </w:p>
    <w:p w14:paraId="0DFDF385" w14:textId="77777777" w:rsidR="000F3775" w:rsidRPr="000F3775" w:rsidRDefault="000F3775" w:rsidP="000F3775">
      <w:pPr>
        <w:pStyle w:val="3"/>
        <w:shd w:val="clear" w:color="auto" w:fill="FFFFFF"/>
        <w:spacing w:before="480" w:after="240" w:line="450" w:lineRule="atLeast"/>
        <w:rPr>
          <w:color w:val="0F1115"/>
          <w:sz w:val="30"/>
          <w:szCs w:val="30"/>
        </w:rPr>
      </w:pPr>
      <w:r w:rsidRPr="000F3775">
        <w:rPr>
          <w:rStyle w:val="aa"/>
          <w:b w:val="0"/>
          <w:bCs/>
          <w:color w:val="0F1115"/>
          <w:sz w:val="30"/>
          <w:szCs w:val="30"/>
        </w:rPr>
        <w:t>6. Иные положения</w:t>
      </w:r>
    </w:p>
    <w:p w14:paraId="6273F24E" w14:textId="77777777" w:rsidR="000F3775" w:rsidRPr="000F3775" w:rsidRDefault="000F3775" w:rsidP="000F3775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Установлен </w:t>
      </w:r>
      <w:r w:rsidRPr="000F3775">
        <w:rPr>
          <w:rStyle w:val="aa"/>
          <w:color w:val="0F1115"/>
        </w:rPr>
        <w:t>Рабочий план счетов</w:t>
      </w:r>
      <w:r w:rsidRPr="000F3775">
        <w:rPr>
          <w:color w:val="0F1115"/>
        </w:rPr>
        <w:t> (Приложение №1).</w:t>
      </w:r>
    </w:p>
    <w:p w14:paraId="152394FF" w14:textId="77777777" w:rsidR="000F3775" w:rsidRPr="000F3775" w:rsidRDefault="000F3775" w:rsidP="000F3775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Определен </w:t>
      </w:r>
      <w:r w:rsidRPr="000F3775">
        <w:rPr>
          <w:rStyle w:val="aa"/>
          <w:color w:val="0F1115"/>
        </w:rPr>
        <w:t>Порядок документооборота и ответственные лица</w:t>
      </w:r>
      <w:r w:rsidRPr="000F3775">
        <w:rPr>
          <w:color w:val="0F1115"/>
        </w:rPr>
        <w:t> (Приложение №3).</w:t>
      </w:r>
    </w:p>
    <w:p w14:paraId="1117BB61" w14:textId="77777777" w:rsidR="000F3775" w:rsidRPr="000F3775" w:rsidRDefault="000F3775" w:rsidP="000F3775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Утвержден </w:t>
      </w:r>
      <w:r w:rsidRPr="000F3775">
        <w:rPr>
          <w:rStyle w:val="aa"/>
          <w:color w:val="0F1115"/>
        </w:rPr>
        <w:t>Перечень лиц, имеющих право подписи</w:t>
      </w:r>
      <w:r w:rsidRPr="000F3775">
        <w:rPr>
          <w:color w:val="0F1115"/>
        </w:rPr>
        <w:t> первичных документов (Приложение №10).</w:t>
      </w:r>
    </w:p>
    <w:p w14:paraId="567C2951" w14:textId="77777777" w:rsidR="000F3775" w:rsidRPr="000F3775" w:rsidRDefault="000F3775" w:rsidP="000F3775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/>
        <w:rPr>
          <w:color w:val="0F1115"/>
        </w:rPr>
      </w:pPr>
      <w:r w:rsidRPr="000F3775">
        <w:rPr>
          <w:color w:val="0F1115"/>
        </w:rPr>
        <w:t>Регламентирован порядок учета </w:t>
      </w:r>
      <w:r w:rsidRPr="000F3775">
        <w:rPr>
          <w:rStyle w:val="aa"/>
          <w:color w:val="0F1115"/>
        </w:rPr>
        <w:t>событий после отчетной даты</w:t>
      </w:r>
      <w:r w:rsidRPr="000F3775">
        <w:rPr>
          <w:color w:val="0F1115"/>
        </w:rPr>
        <w:t>, </w:t>
      </w:r>
      <w:r w:rsidRPr="000F3775">
        <w:rPr>
          <w:rStyle w:val="aa"/>
          <w:color w:val="0F1115"/>
        </w:rPr>
        <w:t>обеспечения обязательств</w:t>
      </w:r>
      <w:r w:rsidRPr="000F3775">
        <w:rPr>
          <w:color w:val="0F1115"/>
        </w:rPr>
        <w:t> и </w:t>
      </w:r>
      <w:r w:rsidRPr="000F3775">
        <w:rPr>
          <w:rStyle w:val="aa"/>
          <w:color w:val="0F1115"/>
        </w:rPr>
        <w:t>обесценения активов</w:t>
      </w:r>
      <w:r w:rsidRPr="000F3775">
        <w:rPr>
          <w:color w:val="0F1115"/>
        </w:rPr>
        <w:t>.</w:t>
      </w:r>
    </w:p>
    <w:p w14:paraId="7449E14A" w14:textId="77777777" w:rsidR="000F3775" w:rsidRPr="000F3775" w:rsidRDefault="000F3775" w:rsidP="000F377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F3775">
        <w:rPr>
          <w:rStyle w:val="aa"/>
          <w:color w:val="0F1115"/>
        </w:rPr>
        <w:t>Приложения к Учетной политике, на которые имеются ссылки в тексте, являются ее неотъемлемой частью.</w:t>
      </w:r>
    </w:p>
    <w:p w14:paraId="5154BE0E" w14:textId="77777777" w:rsidR="000F3775" w:rsidRPr="000F3775" w:rsidRDefault="000F3775" w:rsidP="000F3775">
      <w:pPr>
        <w:spacing w:before="480" w:after="480"/>
        <w:rPr>
          <w:rFonts w:ascii="Times New Roman" w:hAnsi="Times New Roman"/>
        </w:rPr>
      </w:pPr>
      <w:r w:rsidRPr="000F3775">
        <w:rPr>
          <w:rFonts w:ascii="Times New Roman" w:hAnsi="Times New Roman"/>
        </w:rPr>
        <w:pict w14:anchorId="51B506E0">
          <v:rect id="_x0000_i1031" style="width:0;height:.75pt" o:hralign="center" o:hrstd="t" o:hr="t" fillcolor="#a0a0a0" stroked="f"/>
        </w:pict>
      </w:r>
    </w:p>
    <w:p w14:paraId="3B0C07C3" w14:textId="77777777" w:rsidR="000F3775" w:rsidRPr="000F3775" w:rsidRDefault="000F3775" w:rsidP="000F3775">
      <w:pPr>
        <w:pStyle w:val="ds-markdown-paragraph"/>
        <w:shd w:val="clear" w:color="auto" w:fill="FFFFFF"/>
        <w:spacing w:before="240" w:beforeAutospacing="0"/>
        <w:rPr>
          <w:color w:val="0F1115"/>
        </w:rPr>
      </w:pPr>
      <w:r w:rsidRPr="000F3775">
        <w:rPr>
          <w:rStyle w:val="ab"/>
          <w:color w:val="0F1115"/>
        </w:rPr>
        <w:lastRenderedPageBreak/>
        <w:t>Данная информация является выдержкой из полного текста Учетной политики, утвержденной Приказом от 29.12.2018 № 39 (ред. от 26.12.2025). С полным текстом документа можно ознакомиться по месту его хранения в учреждении.</w:t>
      </w:r>
    </w:p>
    <w:p w14:paraId="65E81CB9" w14:textId="77777777" w:rsidR="00F127A1" w:rsidRPr="000F3775" w:rsidRDefault="00F127A1" w:rsidP="00496E7D">
      <w:pPr>
        <w:pStyle w:val="a4"/>
        <w:spacing w:before="0" w:beforeAutospacing="0" w:after="0" w:afterAutospacing="0"/>
        <w:ind w:firstLine="567"/>
        <w:jc w:val="both"/>
      </w:pPr>
    </w:p>
    <w:sectPr w:rsidR="00F127A1" w:rsidRPr="000F3775" w:rsidSect="00496E7D">
      <w:pgSz w:w="11906" w:h="16838"/>
      <w:pgMar w:top="568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 w15:restartNumberingAfterBreak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2" w15:restartNumberingAfterBreak="0">
    <w:nsid w:val="058B4D6C"/>
    <w:multiLevelType w:val="hybridMultilevel"/>
    <w:tmpl w:val="D05AA8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ACD0D47"/>
    <w:multiLevelType w:val="multilevel"/>
    <w:tmpl w:val="2680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D016A"/>
    <w:multiLevelType w:val="hybridMultilevel"/>
    <w:tmpl w:val="DB98052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7E55214"/>
    <w:multiLevelType w:val="multilevel"/>
    <w:tmpl w:val="2204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B3F1B"/>
    <w:multiLevelType w:val="hybridMultilevel"/>
    <w:tmpl w:val="BD747F7A"/>
    <w:lvl w:ilvl="0" w:tplc="4E7EBD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F5421D"/>
    <w:multiLevelType w:val="multilevel"/>
    <w:tmpl w:val="37EA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F74A1"/>
    <w:multiLevelType w:val="multilevel"/>
    <w:tmpl w:val="2CB2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2694F"/>
    <w:multiLevelType w:val="hybridMultilevel"/>
    <w:tmpl w:val="80FA8B1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AAF10F6"/>
    <w:multiLevelType w:val="multilevel"/>
    <w:tmpl w:val="E064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207B96"/>
    <w:multiLevelType w:val="multilevel"/>
    <w:tmpl w:val="F580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12D0AC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3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4" w15:restartNumberingAfterBreak="0">
    <w:nsid w:val="54197D78"/>
    <w:multiLevelType w:val="hybridMultilevel"/>
    <w:tmpl w:val="56C2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254E0"/>
    <w:multiLevelType w:val="multilevel"/>
    <w:tmpl w:val="B598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BA4E60"/>
    <w:multiLevelType w:val="multilevel"/>
    <w:tmpl w:val="1E3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0F448E"/>
    <w:multiLevelType w:val="multilevel"/>
    <w:tmpl w:val="A120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F072B7"/>
    <w:multiLevelType w:val="hybridMultilevel"/>
    <w:tmpl w:val="5848435A"/>
    <w:lvl w:ilvl="0" w:tplc="041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9" w15:restartNumberingAfterBreak="0">
    <w:nsid w:val="69AF2BBF"/>
    <w:multiLevelType w:val="hybridMultilevel"/>
    <w:tmpl w:val="E7C4DA9A"/>
    <w:lvl w:ilvl="0" w:tplc="041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0" w15:restartNumberingAfterBreak="0">
    <w:nsid w:val="6A8E0640"/>
    <w:multiLevelType w:val="multilevel"/>
    <w:tmpl w:val="EE48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DC4F30"/>
    <w:multiLevelType w:val="hybridMultilevel"/>
    <w:tmpl w:val="68089C90"/>
    <w:lvl w:ilvl="0" w:tplc="041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2" w15:restartNumberingAfterBreak="0">
    <w:nsid w:val="6DE83B4E"/>
    <w:multiLevelType w:val="multilevel"/>
    <w:tmpl w:val="AB70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603568"/>
    <w:multiLevelType w:val="hybridMultilevel"/>
    <w:tmpl w:val="15B66340"/>
    <w:lvl w:ilvl="0" w:tplc="041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4" w15:restartNumberingAfterBreak="0">
    <w:nsid w:val="74011697"/>
    <w:multiLevelType w:val="multilevel"/>
    <w:tmpl w:val="89D0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D63F41"/>
    <w:multiLevelType w:val="multilevel"/>
    <w:tmpl w:val="DB06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394837"/>
    <w:multiLevelType w:val="multilevel"/>
    <w:tmpl w:val="3904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C65730"/>
    <w:multiLevelType w:val="multilevel"/>
    <w:tmpl w:val="2870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3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9"/>
  </w:num>
  <w:num w:numId="9">
    <w:abstractNumId w:val="18"/>
  </w:num>
  <w:num w:numId="10">
    <w:abstractNumId w:val="2"/>
  </w:num>
  <w:num w:numId="11">
    <w:abstractNumId w:val="21"/>
  </w:num>
  <w:num w:numId="12">
    <w:abstractNumId w:val="23"/>
  </w:num>
  <w:num w:numId="13">
    <w:abstractNumId w:val="4"/>
  </w:num>
  <w:num w:numId="14">
    <w:abstractNumId w:val="12"/>
    <w:lvlOverride w:ilvl="0">
      <w:startOverride w:val="1"/>
    </w:lvlOverride>
  </w:num>
  <w:num w:numId="15">
    <w:abstractNumId w:val="10"/>
  </w:num>
  <w:num w:numId="16">
    <w:abstractNumId w:val="26"/>
  </w:num>
  <w:num w:numId="17">
    <w:abstractNumId w:val="17"/>
  </w:num>
  <w:num w:numId="18">
    <w:abstractNumId w:val="20"/>
  </w:num>
  <w:num w:numId="19">
    <w:abstractNumId w:val="25"/>
  </w:num>
  <w:num w:numId="20">
    <w:abstractNumId w:val="15"/>
  </w:num>
  <w:num w:numId="21">
    <w:abstractNumId w:val="7"/>
  </w:num>
  <w:num w:numId="22">
    <w:abstractNumId w:val="16"/>
  </w:num>
  <w:num w:numId="23">
    <w:abstractNumId w:val="11"/>
  </w:num>
  <w:num w:numId="24">
    <w:abstractNumId w:val="5"/>
  </w:num>
  <w:num w:numId="25">
    <w:abstractNumId w:val="24"/>
  </w:num>
  <w:num w:numId="26">
    <w:abstractNumId w:val="22"/>
  </w:num>
  <w:num w:numId="27">
    <w:abstractNumId w:val="3"/>
  </w:num>
  <w:num w:numId="28">
    <w:abstractNumId w:val="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FF"/>
    <w:rsid w:val="0001531C"/>
    <w:rsid w:val="00033E07"/>
    <w:rsid w:val="0005408A"/>
    <w:rsid w:val="000F3775"/>
    <w:rsid w:val="00112A0B"/>
    <w:rsid w:val="0026490F"/>
    <w:rsid w:val="002C397A"/>
    <w:rsid w:val="002C73D4"/>
    <w:rsid w:val="00324844"/>
    <w:rsid w:val="003817A5"/>
    <w:rsid w:val="003C608A"/>
    <w:rsid w:val="003D662B"/>
    <w:rsid w:val="00453EA9"/>
    <w:rsid w:val="00496E7D"/>
    <w:rsid w:val="005A67DB"/>
    <w:rsid w:val="005D3377"/>
    <w:rsid w:val="0063669B"/>
    <w:rsid w:val="00647C33"/>
    <w:rsid w:val="00676A96"/>
    <w:rsid w:val="00740F24"/>
    <w:rsid w:val="00795487"/>
    <w:rsid w:val="007B6396"/>
    <w:rsid w:val="007F60BA"/>
    <w:rsid w:val="008C7BD5"/>
    <w:rsid w:val="00A40744"/>
    <w:rsid w:val="00A52A29"/>
    <w:rsid w:val="00B910F3"/>
    <w:rsid w:val="00BE7C82"/>
    <w:rsid w:val="00C310F9"/>
    <w:rsid w:val="00CB20A7"/>
    <w:rsid w:val="00CE5515"/>
    <w:rsid w:val="00CF4F21"/>
    <w:rsid w:val="00D146F7"/>
    <w:rsid w:val="00D15D44"/>
    <w:rsid w:val="00D33548"/>
    <w:rsid w:val="00E42AFF"/>
    <w:rsid w:val="00F127A1"/>
    <w:rsid w:val="00F32D10"/>
    <w:rsid w:val="00F507B8"/>
    <w:rsid w:val="00F515B2"/>
    <w:rsid w:val="00F55775"/>
    <w:rsid w:val="00F722F7"/>
    <w:rsid w:val="00F9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8CB6"/>
  <w15:docId w15:val="{321E9B6D-7654-46C8-9047-2A93961F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AF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127A1"/>
    <w:pPr>
      <w:keepNext/>
      <w:keepLines/>
      <w:numPr>
        <w:numId w:val="4"/>
      </w:numPr>
      <w:spacing w:before="240" w:after="120"/>
      <w:jc w:val="center"/>
      <w:outlineLvl w:val="0"/>
    </w:pPr>
    <w:rPr>
      <w:rFonts w:ascii="Times New Roman" w:eastAsia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127A1"/>
    <w:pPr>
      <w:numPr>
        <w:ilvl w:val="1"/>
        <w:numId w:val="4"/>
      </w:numPr>
      <w:spacing w:before="120" w:after="120"/>
      <w:ind w:firstLine="482"/>
      <w:jc w:val="both"/>
      <w:outlineLvl w:val="1"/>
    </w:pPr>
    <w:rPr>
      <w:rFonts w:ascii="Times New Roman" w:eastAsia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F127A1"/>
    <w:pPr>
      <w:numPr>
        <w:ilvl w:val="2"/>
        <w:numId w:val="4"/>
      </w:numPr>
      <w:spacing w:before="120" w:after="120"/>
      <w:ind w:firstLine="482"/>
      <w:jc w:val="both"/>
      <w:outlineLvl w:val="2"/>
    </w:pPr>
    <w:rPr>
      <w:rFonts w:ascii="Times New Roman" w:eastAsia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F127A1"/>
    <w:pPr>
      <w:numPr>
        <w:ilvl w:val="3"/>
        <w:numId w:val="4"/>
      </w:numPr>
      <w:spacing w:before="120" w:after="120"/>
      <w:ind w:firstLine="482"/>
      <w:jc w:val="both"/>
      <w:outlineLvl w:val="3"/>
    </w:pPr>
    <w:rPr>
      <w:rFonts w:ascii="Times New Roman" w:eastAsia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F127A1"/>
    <w:pPr>
      <w:keepNext/>
      <w:keepLines/>
      <w:numPr>
        <w:ilvl w:val="4"/>
        <w:numId w:val="4"/>
      </w:numPr>
      <w:spacing w:before="200" w:after="0"/>
      <w:ind w:firstLine="482"/>
      <w:jc w:val="both"/>
      <w:outlineLvl w:val="4"/>
    </w:pPr>
    <w:rPr>
      <w:rFonts w:ascii="Times New Roman" w:eastAsia="Times New Roman" w:hAnsi="Times New Roman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F127A1"/>
    <w:pPr>
      <w:keepNext/>
      <w:keepLines/>
      <w:numPr>
        <w:ilvl w:val="5"/>
        <w:numId w:val="4"/>
      </w:numPr>
      <w:spacing w:before="200" w:after="0"/>
      <w:ind w:firstLine="482"/>
      <w:jc w:val="both"/>
      <w:outlineLvl w:val="5"/>
    </w:pPr>
    <w:rPr>
      <w:rFonts w:ascii="Times New Roman" w:eastAsia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F127A1"/>
    <w:pPr>
      <w:keepNext/>
      <w:keepLines/>
      <w:numPr>
        <w:ilvl w:val="6"/>
        <w:numId w:val="4"/>
      </w:numPr>
      <w:spacing w:before="200" w:after="0"/>
      <w:ind w:firstLine="482"/>
      <w:jc w:val="both"/>
      <w:outlineLvl w:val="6"/>
    </w:pPr>
    <w:rPr>
      <w:rFonts w:ascii="Times New Roman" w:eastAsia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F127A1"/>
    <w:pPr>
      <w:keepNext/>
      <w:keepLines/>
      <w:numPr>
        <w:ilvl w:val="7"/>
        <w:numId w:val="4"/>
      </w:numPr>
      <w:spacing w:before="200" w:after="0"/>
      <w:ind w:firstLine="482"/>
      <w:jc w:val="both"/>
      <w:outlineLvl w:val="7"/>
    </w:pPr>
    <w:rPr>
      <w:rFonts w:ascii="Times New Roman" w:eastAsia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F127A1"/>
    <w:pPr>
      <w:keepNext/>
      <w:keepLines/>
      <w:numPr>
        <w:ilvl w:val="8"/>
        <w:numId w:val="4"/>
      </w:numPr>
      <w:spacing w:before="200" w:after="0"/>
      <w:ind w:firstLine="482"/>
      <w:jc w:val="both"/>
      <w:outlineLvl w:val="8"/>
    </w:pPr>
    <w:rPr>
      <w:rFonts w:ascii="Times New Roman" w:eastAsia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77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127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127A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127A1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27A1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27A1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27A1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127A1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127A1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127A1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127A1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127A1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21">
    <w:name w:val="Стиль2"/>
    <w:basedOn w:val="a"/>
    <w:link w:val="22"/>
    <w:qFormat/>
    <w:rsid w:val="00F127A1"/>
    <w:pPr>
      <w:autoSpaceDE w:val="0"/>
      <w:autoSpaceDN w:val="0"/>
      <w:adjustRightInd w:val="0"/>
      <w:spacing w:after="0"/>
      <w:ind w:firstLine="540"/>
      <w:jc w:val="both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22">
    <w:name w:val="Стиль2 Знак"/>
    <w:link w:val="21"/>
    <w:rsid w:val="00F127A1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Title"/>
    <w:aliases w:val="Текст сноски Знак"/>
    <w:basedOn w:val="a"/>
    <w:next w:val="a"/>
    <w:link w:val="a7"/>
    <w:uiPriority w:val="10"/>
    <w:qFormat/>
    <w:rsid w:val="007B6396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character" w:customStyle="1" w:styleId="a7">
    <w:name w:val="Заголовок Знак"/>
    <w:aliases w:val="Текст сноски Знак Знак"/>
    <w:basedOn w:val="a0"/>
    <w:link w:val="a6"/>
    <w:uiPriority w:val="10"/>
    <w:rsid w:val="007B6396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7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22F7"/>
    <w:rPr>
      <w:rFonts w:ascii="Tahoma" w:eastAsia="Calibri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0F37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F3775"/>
    <w:rPr>
      <w:b/>
      <w:bCs/>
    </w:rPr>
  </w:style>
  <w:style w:type="character" w:styleId="ab">
    <w:name w:val="Emphasis"/>
    <w:basedOn w:val="a0"/>
    <w:uiPriority w:val="20"/>
    <w:qFormat/>
    <w:rsid w:val="000F37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2023-12-08T06:48:00Z</cp:lastPrinted>
  <dcterms:created xsi:type="dcterms:W3CDTF">2025-12-29T06:45:00Z</dcterms:created>
  <dcterms:modified xsi:type="dcterms:W3CDTF">2025-12-29T06:45:00Z</dcterms:modified>
</cp:coreProperties>
</file>